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b/>
          <w:bCs/>
          <w:sz w:val="24"/>
        </w:rPr>
      </w:pPr>
    </w:p>
    <w:p>
      <w:pPr>
        <w:jc w:val="center"/>
        <w:rPr>
          <w:rFonts w:ascii="Times New Roman" w:hAnsi="Times New Roman" w:eastAsia="MS Gothic"/>
          <w:b/>
          <w:bCs/>
          <w:sz w:val="40"/>
        </w:rPr>
      </w:pPr>
      <w:r>
        <w:rPr>
          <w:rFonts w:hint="eastAsia" w:ascii="Times New Roman" w:hAnsi="Times New Roman" w:eastAsia="黑体"/>
          <w:b/>
          <w:bCs/>
          <w:sz w:val="36"/>
        </w:rPr>
        <w:t>《高级英语》考试大纲</w:t>
      </w:r>
    </w:p>
    <w:p>
      <w:pPr>
        <w:pStyle w:val="2"/>
        <w:spacing w:line="440" w:lineRule="exact"/>
        <w:ind w:firstLine="480"/>
        <w:rPr>
          <w:b w:val="0"/>
          <w:bCs w:val="0"/>
        </w:rPr>
      </w:pPr>
    </w:p>
    <w:p>
      <w:pPr>
        <w:pStyle w:val="2"/>
        <w:spacing w:line="440" w:lineRule="exact"/>
        <w:ind w:firstLine="532" w:firstLineChars="222"/>
        <w:rPr>
          <w:rFonts w:ascii="宋体"/>
          <w:b w:val="0"/>
        </w:rPr>
      </w:pPr>
      <w:r>
        <w:rPr>
          <w:rFonts w:hint="eastAsia" w:ascii="宋体" w:hAnsi="宋体"/>
          <w:b w:val="0"/>
        </w:rPr>
        <w:t>本课程是高年级的一门综合课程，课堂主要围绕教材中出现的各种涉及文化、哲学、社会学、人类学等文章进行分析讲解和讨论，指导学生提出自己的见解和方案，增强学生理解与应用语言知识的能力；引导学生在学习西方文化的同时，学会将西方文化和本民族的文化进行对比分析和研究，培养学生对篇章的分析和欣赏能力，提高他们的文化素养与跨文化交际能力，同时进一步训练和提高学生的阅读与写作能力。</w:t>
      </w:r>
    </w:p>
    <w:p>
      <w:pPr>
        <w:pStyle w:val="2"/>
        <w:spacing w:line="440" w:lineRule="exact"/>
        <w:ind w:firstLine="532" w:firstLineChars="222"/>
        <w:rPr>
          <w:rFonts w:ascii="宋体"/>
          <w:b w:val="0"/>
          <w:bCs w:val="0"/>
        </w:rPr>
      </w:pPr>
    </w:p>
    <w:p>
      <w:pPr>
        <w:pStyle w:val="2"/>
        <w:spacing w:line="440" w:lineRule="exact"/>
        <w:rPr>
          <w:rFonts w:eastAsia="黑体"/>
          <w:sz w:val="28"/>
        </w:rPr>
      </w:pPr>
      <w:r>
        <w:rPr>
          <w:rFonts w:hint="eastAsia" w:eastAsia="黑体"/>
          <w:sz w:val="28"/>
        </w:rPr>
        <w:t>一、考试对象：</w:t>
      </w:r>
    </w:p>
    <w:p>
      <w:pPr>
        <w:pStyle w:val="2"/>
        <w:spacing w:line="440" w:lineRule="exact"/>
        <w:ind w:firstLine="532" w:firstLineChars="222"/>
        <w:rPr>
          <w:rFonts w:hint="default" w:ascii="宋体" w:eastAsia="宋体"/>
          <w:b w:val="0"/>
          <w:lang w:val="en-US" w:eastAsia="zh-CN"/>
        </w:rPr>
      </w:pPr>
      <w:r>
        <w:rPr>
          <w:rFonts w:hint="eastAsia" w:ascii="宋体" w:hAnsi="宋体"/>
          <w:b w:val="0"/>
          <w:lang w:val="en-US" w:eastAsia="zh-CN"/>
        </w:rPr>
        <w:t>报考学科教学（英语）入学考试（复试）的非</w:t>
      </w:r>
      <w:r>
        <w:rPr>
          <w:rFonts w:hint="eastAsia" w:ascii="宋体" w:hAnsi="宋体"/>
          <w:b w:val="0"/>
        </w:rPr>
        <w:t>英语</w:t>
      </w:r>
      <w:r>
        <w:rPr>
          <w:rFonts w:hint="eastAsia" w:ascii="宋体" w:hAnsi="宋体"/>
          <w:b w:val="0"/>
          <w:lang w:val="en-US" w:eastAsia="zh-CN"/>
        </w:rPr>
        <w:t>专业</w:t>
      </w:r>
      <w:r>
        <w:rPr>
          <w:rFonts w:hint="eastAsia" w:ascii="宋体" w:hAnsi="宋体"/>
          <w:b w:val="0"/>
        </w:rPr>
        <w:t>学生</w:t>
      </w:r>
    </w:p>
    <w:p>
      <w:pPr>
        <w:pStyle w:val="2"/>
        <w:spacing w:line="440" w:lineRule="exact"/>
        <w:ind w:firstLine="532" w:firstLineChars="222"/>
        <w:rPr>
          <w:rFonts w:ascii="宋体"/>
          <w:b w:val="0"/>
        </w:rPr>
      </w:pPr>
    </w:p>
    <w:p>
      <w:pPr>
        <w:pStyle w:val="2"/>
        <w:spacing w:line="440" w:lineRule="exact"/>
        <w:rPr>
          <w:rFonts w:eastAsia="黑体"/>
          <w:sz w:val="28"/>
        </w:rPr>
      </w:pPr>
      <w:r>
        <w:rPr>
          <w:rFonts w:hint="eastAsia" w:eastAsia="黑体"/>
          <w:sz w:val="28"/>
        </w:rPr>
        <w:t>二、考试方式：</w:t>
      </w:r>
    </w:p>
    <w:p>
      <w:pPr>
        <w:pStyle w:val="2"/>
        <w:spacing w:line="440" w:lineRule="exact"/>
        <w:ind w:firstLine="532" w:firstLineChars="222"/>
        <w:rPr>
          <w:b w:val="0"/>
          <w:bCs w:val="0"/>
          <w:sz w:val="24"/>
        </w:rPr>
      </w:pPr>
      <w:r>
        <w:rPr>
          <w:rFonts w:hint="eastAsia" w:ascii="宋体" w:hAnsi="宋体"/>
          <w:b w:val="0"/>
        </w:rPr>
        <w:t>本课程课程成绩为百分制，</w:t>
      </w:r>
      <w:r>
        <w:rPr>
          <w:rFonts w:hint="eastAsia"/>
          <w:b w:val="0"/>
          <w:bCs w:val="0"/>
          <w:sz w:val="24"/>
        </w:rPr>
        <w:t>考试形式为闭卷，笔答。满分</w:t>
      </w:r>
      <w:r>
        <w:rPr>
          <w:b w:val="0"/>
          <w:bCs w:val="0"/>
          <w:sz w:val="24"/>
        </w:rPr>
        <w:t>100</w:t>
      </w:r>
      <w:r>
        <w:rPr>
          <w:rFonts w:hint="eastAsia"/>
          <w:b w:val="0"/>
          <w:bCs w:val="0"/>
          <w:sz w:val="24"/>
        </w:rPr>
        <w:t>分，考试时间总共</w:t>
      </w:r>
      <w:r>
        <w:rPr>
          <w:b w:val="0"/>
          <w:bCs w:val="0"/>
          <w:sz w:val="24"/>
        </w:rPr>
        <w:t>120</w:t>
      </w:r>
      <w:r>
        <w:rPr>
          <w:rFonts w:hint="eastAsia"/>
          <w:b w:val="0"/>
          <w:bCs w:val="0"/>
          <w:sz w:val="24"/>
        </w:rPr>
        <w:t>分钟。</w:t>
      </w:r>
    </w:p>
    <w:p>
      <w:pPr>
        <w:spacing w:line="360" w:lineRule="auto"/>
        <w:rPr>
          <w:b w:val="0"/>
          <w:bCs w:val="0"/>
          <w:sz w:val="24"/>
        </w:rPr>
      </w:pPr>
    </w:p>
    <w:p>
      <w:pPr>
        <w:pStyle w:val="2"/>
        <w:spacing w:line="440" w:lineRule="exact"/>
        <w:rPr>
          <w:rFonts w:eastAsia="黑体"/>
          <w:sz w:val="28"/>
        </w:rPr>
      </w:pPr>
      <w:r>
        <w:rPr>
          <w:rFonts w:hint="eastAsia" w:eastAsia="黑体"/>
          <w:sz w:val="28"/>
        </w:rPr>
        <w:t>三、命题依据：</w:t>
      </w:r>
    </w:p>
    <w:p>
      <w:pPr>
        <w:pStyle w:val="2"/>
        <w:spacing w:line="440" w:lineRule="exact"/>
        <w:ind w:firstLine="532" w:firstLineChars="222"/>
        <w:rPr>
          <w:rFonts w:ascii="宋体"/>
          <w:b w:val="0"/>
        </w:rPr>
      </w:pPr>
      <w:r>
        <w:rPr>
          <w:rFonts w:hint="eastAsia" w:ascii="宋体" w:hAnsi="宋体"/>
          <w:b w:val="0"/>
        </w:rPr>
        <w:t>本课程终结考试的命题依据是闽南师范大学英语专业教学计划、课程教学大纲以及本课程的教材的材料。</w:t>
      </w:r>
    </w:p>
    <w:p>
      <w:pPr>
        <w:pStyle w:val="2"/>
        <w:spacing w:line="440" w:lineRule="exact"/>
        <w:ind w:left="483" w:leftChars="230" w:firstLine="551" w:firstLineChars="196"/>
        <w:rPr>
          <w:rFonts w:eastAsia="黑体"/>
          <w:sz w:val="28"/>
        </w:rPr>
      </w:pPr>
    </w:p>
    <w:p>
      <w:pPr>
        <w:pStyle w:val="2"/>
        <w:spacing w:line="440" w:lineRule="exact"/>
        <w:rPr>
          <w:rFonts w:eastAsia="黑体"/>
          <w:sz w:val="28"/>
        </w:rPr>
      </w:pPr>
      <w:r>
        <w:rPr>
          <w:rFonts w:hint="eastAsia" w:eastAsia="黑体"/>
          <w:sz w:val="28"/>
        </w:rPr>
        <w:t>四、评价目标：</w:t>
      </w:r>
    </w:p>
    <w:p>
      <w:pPr>
        <w:pStyle w:val="2"/>
        <w:spacing w:line="440" w:lineRule="exact"/>
        <w:ind w:firstLine="480" w:firstLineChars="200"/>
      </w:pPr>
      <w:r>
        <w:rPr>
          <w:rFonts w:hint="eastAsia" w:ascii="宋体" w:hAnsi="宋体"/>
          <w:b w:val="0"/>
        </w:rPr>
        <w:t>本考试重点考查学生对所学课文中词句意义、文章大意、修辞、文章结构等的掌握；高级阅读课所要求的相关阅读技能；高级写作能力；段落翻译能力。要求学生能够对本课程所学有一个整体了解，对各单元阅读材料有较好的理解，熟悉其中的语言、修辞等方面的基础知识。</w:t>
      </w:r>
    </w:p>
    <w:p>
      <w:pPr>
        <w:pStyle w:val="2"/>
        <w:spacing w:line="440" w:lineRule="exact"/>
        <w:ind w:firstLine="551" w:firstLineChars="196"/>
        <w:rPr>
          <w:rFonts w:eastAsia="黑体"/>
          <w:sz w:val="28"/>
        </w:rPr>
      </w:pPr>
    </w:p>
    <w:p>
      <w:pPr>
        <w:pStyle w:val="2"/>
        <w:spacing w:line="440" w:lineRule="exact"/>
        <w:rPr>
          <w:rFonts w:eastAsia="黑体"/>
          <w:sz w:val="28"/>
        </w:rPr>
      </w:pPr>
      <w:r>
        <w:rPr>
          <w:rFonts w:hint="eastAsia" w:eastAsia="黑体"/>
          <w:sz w:val="28"/>
        </w:rPr>
        <w:t>五、命题原则：</w:t>
      </w:r>
    </w:p>
    <w:p>
      <w:pPr>
        <w:pStyle w:val="2"/>
        <w:spacing w:line="440" w:lineRule="exact"/>
        <w:ind w:firstLine="480" w:firstLineChars="200"/>
        <w:rPr>
          <w:rFonts w:ascii="宋体"/>
        </w:rPr>
      </w:pPr>
      <w:r>
        <w:rPr>
          <w:rFonts w:hint="eastAsia" w:ascii="宋体" w:hAnsi="宋体"/>
          <w:b w:val="0"/>
        </w:rPr>
        <w:t>根据教材所涵盖的有关章节内容和与教材难度相关的其它有关形成性评价与英语测试理论材料命题，其中涉及教材内容不少于</w:t>
      </w:r>
      <w:r>
        <w:rPr>
          <w:rFonts w:ascii="宋体" w:hAnsi="宋体"/>
          <w:b w:val="0"/>
        </w:rPr>
        <w:t>20%</w:t>
      </w:r>
      <w:r>
        <w:rPr>
          <w:rFonts w:hint="eastAsia" w:ascii="宋体" w:hAnsi="宋体"/>
          <w:b w:val="0"/>
        </w:rPr>
        <w:t>。</w:t>
      </w:r>
    </w:p>
    <w:p>
      <w:pPr>
        <w:pStyle w:val="2"/>
        <w:spacing w:line="440" w:lineRule="exact"/>
        <w:ind w:firstLine="551" w:firstLineChars="196"/>
        <w:rPr>
          <w:rFonts w:eastAsia="黑体"/>
          <w:sz w:val="28"/>
        </w:rPr>
      </w:pPr>
    </w:p>
    <w:p>
      <w:pPr>
        <w:pStyle w:val="2"/>
        <w:spacing w:line="440" w:lineRule="exact"/>
        <w:rPr>
          <w:rFonts w:eastAsia="黑体"/>
          <w:sz w:val="28"/>
        </w:rPr>
      </w:pPr>
      <w:r>
        <w:rPr>
          <w:rFonts w:hint="eastAsia" w:eastAsia="黑体"/>
          <w:sz w:val="28"/>
        </w:rPr>
        <w:t>六、试题结构：</w:t>
      </w:r>
    </w:p>
    <w:p>
      <w:pPr>
        <w:pStyle w:val="2"/>
        <w:spacing w:line="440" w:lineRule="exact"/>
        <w:rPr>
          <w:rFonts w:eastAsia="黑体"/>
          <w:sz w:val="28"/>
        </w:rPr>
      </w:pPr>
    </w:p>
    <w:tbl>
      <w:tblPr>
        <w:tblStyle w:val="3"/>
        <w:tblW w:w="7804"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44"/>
        <w:gridCol w:w="2268"/>
        <w:gridCol w:w="12"/>
        <w:gridCol w:w="1972"/>
        <w:gridCol w:w="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jc w:val="center"/>
              <w:rPr>
                <w:b w:val="0"/>
              </w:rPr>
            </w:pPr>
            <w:r>
              <w:rPr>
                <w:rFonts w:hint="eastAsia"/>
                <w:b w:val="0"/>
              </w:rPr>
              <w:t>题型</w:t>
            </w:r>
          </w:p>
        </w:tc>
        <w:tc>
          <w:tcPr>
            <w:tcW w:w="2268" w:type="dxa"/>
          </w:tcPr>
          <w:p>
            <w:pPr>
              <w:pStyle w:val="2"/>
              <w:spacing w:line="440" w:lineRule="exact"/>
              <w:jc w:val="center"/>
              <w:rPr>
                <w:b w:val="0"/>
              </w:rPr>
            </w:pPr>
            <w:r>
              <w:rPr>
                <w:rFonts w:hint="eastAsia"/>
                <w:b w:val="0"/>
              </w:rPr>
              <w:t>分值</w:t>
            </w:r>
          </w:p>
        </w:tc>
        <w:tc>
          <w:tcPr>
            <w:tcW w:w="1984" w:type="dxa"/>
            <w:gridSpan w:val="2"/>
          </w:tcPr>
          <w:p>
            <w:pPr>
              <w:pStyle w:val="2"/>
              <w:spacing w:line="440" w:lineRule="exact"/>
              <w:jc w:val="center"/>
              <w:rPr>
                <w:b w:val="0"/>
              </w:rPr>
            </w:pPr>
            <w:r>
              <w:rPr>
                <w:rFonts w:hint="eastAsia"/>
                <w:b w:val="0"/>
              </w:rPr>
              <w:t>考试时间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ind w:firstLine="600" w:firstLineChars="250"/>
              <w:rPr>
                <w:b w:val="0"/>
              </w:rPr>
            </w:pPr>
            <w:r>
              <w:rPr>
                <w:b w:val="0"/>
              </w:rPr>
              <w:t>I. Cloze</w:t>
            </w:r>
          </w:p>
        </w:tc>
        <w:tc>
          <w:tcPr>
            <w:tcW w:w="2268" w:type="dxa"/>
          </w:tcPr>
          <w:p>
            <w:pPr>
              <w:pStyle w:val="2"/>
              <w:spacing w:line="440" w:lineRule="exact"/>
              <w:jc w:val="center"/>
              <w:rPr>
                <w:b w:val="0"/>
              </w:rPr>
            </w:pPr>
            <w:r>
              <w:rPr>
                <w:b w:val="0"/>
              </w:rPr>
              <w:t>15%</w:t>
            </w:r>
            <w:r>
              <w:rPr>
                <w:rFonts w:hint="eastAsia"/>
                <w:b w:val="0"/>
              </w:rPr>
              <w:t>（</w:t>
            </w:r>
            <w:r>
              <w:rPr>
                <w:b w:val="0"/>
              </w:rPr>
              <w:t>1X15</w:t>
            </w:r>
            <w:r>
              <w:rPr>
                <w:rFonts w:hint="eastAsia"/>
                <w:b w:val="0"/>
              </w:rPr>
              <w:t>题）</w:t>
            </w:r>
          </w:p>
        </w:tc>
        <w:tc>
          <w:tcPr>
            <w:tcW w:w="1984" w:type="dxa"/>
            <w:gridSpan w:val="2"/>
          </w:tcPr>
          <w:p>
            <w:pPr>
              <w:pStyle w:val="2"/>
              <w:spacing w:line="440" w:lineRule="exact"/>
              <w:jc w:val="center"/>
              <w:rPr>
                <w:b w:val="0"/>
              </w:rPr>
            </w:pPr>
            <w:r>
              <w:rPr>
                <w:b w:val="0"/>
              </w:rPr>
              <w:t>10</w:t>
            </w:r>
            <w:r>
              <w:rPr>
                <w:rFonts w:hint="eastAsia"/>
                <w:b w:val="0"/>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ind w:firstLine="600" w:firstLineChars="250"/>
              <w:rPr>
                <w:b w:val="0"/>
              </w:rPr>
            </w:pPr>
            <w:r>
              <w:rPr>
                <w:b w:val="0"/>
              </w:rPr>
              <w:t>II. Proof-reading</w:t>
            </w:r>
          </w:p>
        </w:tc>
        <w:tc>
          <w:tcPr>
            <w:tcW w:w="2268" w:type="dxa"/>
          </w:tcPr>
          <w:p>
            <w:pPr>
              <w:pStyle w:val="2"/>
              <w:spacing w:line="440" w:lineRule="exact"/>
              <w:jc w:val="center"/>
              <w:rPr>
                <w:b w:val="0"/>
              </w:rPr>
            </w:pPr>
            <w:r>
              <w:rPr>
                <w:b w:val="0"/>
              </w:rPr>
              <w:t>10%</w:t>
            </w:r>
            <w:r>
              <w:rPr>
                <w:rFonts w:hint="eastAsia"/>
                <w:b w:val="0"/>
              </w:rPr>
              <w:t>（</w:t>
            </w:r>
            <w:r>
              <w:rPr>
                <w:b w:val="0"/>
              </w:rPr>
              <w:t>1X10</w:t>
            </w:r>
            <w:r>
              <w:rPr>
                <w:rFonts w:hint="eastAsia"/>
                <w:b w:val="0"/>
              </w:rPr>
              <w:t>题）</w:t>
            </w:r>
          </w:p>
        </w:tc>
        <w:tc>
          <w:tcPr>
            <w:tcW w:w="1984" w:type="dxa"/>
            <w:gridSpan w:val="2"/>
          </w:tcPr>
          <w:p>
            <w:pPr>
              <w:pStyle w:val="2"/>
              <w:spacing w:line="440" w:lineRule="exact"/>
              <w:jc w:val="center"/>
              <w:rPr>
                <w:b w:val="0"/>
              </w:rPr>
            </w:pPr>
            <w:r>
              <w:rPr>
                <w:b w:val="0"/>
              </w:rPr>
              <w:t>10</w:t>
            </w:r>
            <w:r>
              <w:rPr>
                <w:rFonts w:hint="eastAsia"/>
                <w:b w:val="0"/>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ind w:firstLine="600" w:firstLineChars="250"/>
              <w:rPr>
                <w:b w:val="0"/>
              </w:rPr>
            </w:pPr>
            <w:r>
              <w:rPr>
                <w:b w:val="0"/>
              </w:rPr>
              <w:t>III. Multiple Choice</w:t>
            </w:r>
          </w:p>
        </w:tc>
        <w:tc>
          <w:tcPr>
            <w:tcW w:w="2268" w:type="dxa"/>
          </w:tcPr>
          <w:p>
            <w:pPr>
              <w:pStyle w:val="2"/>
              <w:spacing w:line="440" w:lineRule="exact"/>
              <w:jc w:val="center"/>
              <w:rPr>
                <w:b w:val="0"/>
              </w:rPr>
            </w:pPr>
            <w:r>
              <w:rPr>
                <w:b w:val="0"/>
              </w:rPr>
              <w:t>20%</w:t>
            </w:r>
            <w:r>
              <w:rPr>
                <w:rFonts w:hint="eastAsia"/>
                <w:b w:val="0"/>
              </w:rPr>
              <w:t>（</w:t>
            </w:r>
            <w:r>
              <w:rPr>
                <w:b w:val="0"/>
              </w:rPr>
              <w:t>1X20</w:t>
            </w:r>
            <w:r>
              <w:rPr>
                <w:rFonts w:hint="eastAsia"/>
                <w:b w:val="0"/>
              </w:rPr>
              <w:t>题）</w:t>
            </w:r>
          </w:p>
        </w:tc>
        <w:tc>
          <w:tcPr>
            <w:tcW w:w="1984" w:type="dxa"/>
            <w:gridSpan w:val="2"/>
          </w:tcPr>
          <w:p>
            <w:pPr>
              <w:pStyle w:val="2"/>
              <w:spacing w:line="440" w:lineRule="exact"/>
              <w:jc w:val="center"/>
              <w:rPr>
                <w:b w:val="0"/>
              </w:rPr>
            </w:pPr>
            <w:r>
              <w:rPr>
                <w:b w:val="0"/>
              </w:rPr>
              <w:t>10</w:t>
            </w:r>
            <w:r>
              <w:rPr>
                <w:rFonts w:hint="eastAsia"/>
                <w:b w:val="0"/>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jc w:val="center"/>
              <w:rPr>
                <w:b w:val="0"/>
              </w:rPr>
            </w:pPr>
            <w:r>
              <w:rPr>
                <w:b w:val="0"/>
              </w:rPr>
              <w:t xml:space="preserve">   IV. Reading Comprehension</w:t>
            </w:r>
          </w:p>
        </w:tc>
        <w:tc>
          <w:tcPr>
            <w:tcW w:w="2268" w:type="dxa"/>
          </w:tcPr>
          <w:p>
            <w:pPr>
              <w:pStyle w:val="2"/>
              <w:spacing w:line="440" w:lineRule="exact"/>
              <w:jc w:val="center"/>
              <w:rPr>
                <w:b w:val="0"/>
              </w:rPr>
            </w:pPr>
            <w:r>
              <w:rPr>
                <w:b w:val="0"/>
              </w:rPr>
              <w:t>20%</w:t>
            </w:r>
            <w:r>
              <w:rPr>
                <w:rFonts w:hint="eastAsia"/>
                <w:b w:val="0"/>
              </w:rPr>
              <w:t>（</w:t>
            </w:r>
            <w:r>
              <w:rPr>
                <w:b w:val="0"/>
              </w:rPr>
              <w:t>1X20</w:t>
            </w:r>
            <w:r>
              <w:rPr>
                <w:rFonts w:hint="eastAsia"/>
                <w:b w:val="0"/>
              </w:rPr>
              <w:t>题）</w:t>
            </w:r>
          </w:p>
        </w:tc>
        <w:tc>
          <w:tcPr>
            <w:tcW w:w="1984" w:type="dxa"/>
            <w:gridSpan w:val="2"/>
          </w:tcPr>
          <w:p>
            <w:pPr>
              <w:pStyle w:val="2"/>
              <w:spacing w:line="440" w:lineRule="exact"/>
              <w:jc w:val="center"/>
              <w:rPr>
                <w:b w:val="0"/>
              </w:rPr>
            </w:pPr>
            <w:r>
              <w:rPr>
                <w:b w:val="0"/>
              </w:rPr>
              <w:t>30</w:t>
            </w:r>
            <w:r>
              <w:rPr>
                <w:rFonts w:hint="eastAsia"/>
                <w:b w:val="0"/>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ind w:firstLine="600" w:firstLineChars="250"/>
              <w:rPr>
                <w:b w:val="0"/>
              </w:rPr>
            </w:pPr>
            <w:r>
              <w:rPr>
                <w:b w:val="0"/>
              </w:rPr>
              <w:t>V. Translation</w:t>
            </w:r>
          </w:p>
        </w:tc>
        <w:tc>
          <w:tcPr>
            <w:tcW w:w="2268" w:type="dxa"/>
          </w:tcPr>
          <w:p>
            <w:pPr>
              <w:pStyle w:val="2"/>
              <w:spacing w:line="440" w:lineRule="exact"/>
              <w:jc w:val="center"/>
              <w:rPr>
                <w:b w:val="0"/>
              </w:rPr>
            </w:pPr>
            <w:r>
              <w:rPr>
                <w:b w:val="0"/>
              </w:rPr>
              <w:t>20%</w:t>
            </w:r>
            <w:r>
              <w:rPr>
                <w:rFonts w:hint="eastAsia"/>
                <w:b w:val="0"/>
              </w:rPr>
              <w:t>（</w:t>
            </w:r>
            <w:r>
              <w:rPr>
                <w:b w:val="0"/>
              </w:rPr>
              <w:t>10 X2</w:t>
            </w:r>
            <w:r>
              <w:rPr>
                <w:rFonts w:hint="eastAsia"/>
                <w:b w:val="0"/>
              </w:rPr>
              <w:t>题）</w:t>
            </w:r>
          </w:p>
        </w:tc>
        <w:tc>
          <w:tcPr>
            <w:tcW w:w="1984" w:type="dxa"/>
            <w:gridSpan w:val="2"/>
          </w:tcPr>
          <w:p>
            <w:pPr>
              <w:pStyle w:val="2"/>
              <w:spacing w:line="440" w:lineRule="exact"/>
              <w:jc w:val="center"/>
              <w:rPr>
                <w:b w:val="0"/>
              </w:rPr>
            </w:pPr>
            <w:r>
              <w:rPr>
                <w:b w:val="0"/>
              </w:rPr>
              <w:t>30</w:t>
            </w:r>
            <w:r>
              <w:rPr>
                <w:rFonts w:hint="eastAsia"/>
                <w:b w:val="0"/>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trHeight w:val="336" w:hRule="atLeast"/>
        </w:trPr>
        <w:tc>
          <w:tcPr>
            <w:tcW w:w="3544" w:type="dxa"/>
          </w:tcPr>
          <w:p>
            <w:pPr>
              <w:pStyle w:val="2"/>
              <w:spacing w:line="440" w:lineRule="exact"/>
              <w:ind w:firstLine="600" w:firstLineChars="250"/>
              <w:rPr>
                <w:b w:val="0"/>
              </w:rPr>
            </w:pPr>
            <w:r>
              <w:rPr>
                <w:b w:val="0"/>
              </w:rPr>
              <w:t>VI. Writing</w:t>
            </w:r>
          </w:p>
        </w:tc>
        <w:tc>
          <w:tcPr>
            <w:tcW w:w="2268" w:type="dxa"/>
          </w:tcPr>
          <w:p>
            <w:pPr>
              <w:pStyle w:val="2"/>
              <w:spacing w:line="440" w:lineRule="exact"/>
              <w:jc w:val="center"/>
              <w:rPr>
                <w:b w:val="0"/>
              </w:rPr>
            </w:pPr>
            <w:r>
              <w:rPr>
                <w:b w:val="0"/>
              </w:rPr>
              <w:t>15%</w:t>
            </w:r>
            <w:r>
              <w:rPr>
                <w:rFonts w:hint="eastAsia"/>
                <w:b w:val="0"/>
              </w:rPr>
              <w:t>（</w:t>
            </w:r>
            <w:r>
              <w:rPr>
                <w:b w:val="0"/>
              </w:rPr>
              <w:t>15X1</w:t>
            </w:r>
            <w:r>
              <w:rPr>
                <w:rFonts w:hint="eastAsia"/>
                <w:b w:val="0"/>
              </w:rPr>
              <w:t>题）</w:t>
            </w:r>
          </w:p>
        </w:tc>
        <w:tc>
          <w:tcPr>
            <w:tcW w:w="1984" w:type="dxa"/>
            <w:gridSpan w:val="2"/>
          </w:tcPr>
          <w:p>
            <w:pPr>
              <w:pStyle w:val="2"/>
              <w:spacing w:line="440" w:lineRule="exact"/>
              <w:jc w:val="center"/>
              <w:rPr>
                <w:b w:val="0"/>
              </w:rPr>
            </w:pPr>
            <w:r>
              <w:rPr>
                <w:b w:val="0"/>
              </w:rPr>
              <w:t>30</w:t>
            </w:r>
            <w:r>
              <w:rPr>
                <w:rFonts w:hint="eastAsia"/>
                <w:b w:val="0"/>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544" w:type="dxa"/>
          </w:tcPr>
          <w:p>
            <w:pPr>
              <w:pStyle w:val="2"/>
              <w:spacing w:line="440" w:lineRule="exact"/>
              <w:jc w:val="center"/>
              <w:rPr>
                <w:b w:val="0"/>
              </w:rPr>
            </w:pPr>
            <w:r>
              <w:rPr>
                <w:rFonts w:hint="eastAsia"/>
                <w:b w:val="0"/>
              </w:rPr>
              <w:t>总计</w:t>
            </w:r>
          </w:p>
        </w:tc>
        <w:tc>
          <w:tcPr>
            <w:tcW w:w="2280" w:type="dxa"/>
            <w:gridSpan w:val="2"/>
          </w:tcPr>
          <w:p>
            <w:pPr>
              <w:pStyle w:val="2"/>
              <w:spacing w:line="440" w:lineRule="exact"/>
              <w:jc w:val="center"/>
              <w:rPr>
                <w:b w:val="0"/>
              </w:rPr>
            </w:pPr>
            <w:r>
              <w:rPr>
                <w:b w:val="0"/>
              </w:rPr>
              <w:t>100%</w:t>
            </w:r>
          </w:p>
        </w:tc>
        <w:tc>
          <w:tcPr>
            <w:tcW w:w="1980" w:type="dxa"/>
            <w:gridSpan w:val="2"/>
          </w:tcPr>
          <w:p>
            <w:pPr>
              <w:pStyle w:val="2"/>
              <w:spacing w:line="440" w:lineRule="exact"/>
              <w:jc w:val="center"/>
              <w:rPr>
                <w:b w:val="0"/>
              </w:rPr>
            </w:pPr>
            <w:r>
              <w:rPr>
                <w:b w:val="0"/>
              </w:rPr>
              <w:t>120</w:t>
            </w:r>
            <w:r>
              <w:rPr>
                <w:rFonts w:hint="eastAsia"/>
                <w:b w:val="0"/>
              </w:rPr>
              <w:t>分钟</w:t>
            </w:r>
          </w:p>
        </w:tc>
      </w:tr>
    </w:tbl>
    <w:p>
      <w:pPr>
        <w:pStyle w:val="2"/>
        <w:spacing w:line="440" w:lineRule="exact"/>
        <w:ind w:firstLine="360"/>
        <w:rPr>
          <w:rFonts w:eastAsia="黑体"/>
          <w:sz w:val="28"/>
        </w:rPr>
      </w:pPr>
    </w:p>
    <w:p>
      <w:pPr>
        <w:pStyle w:val="2"/>
        <w:spacing w:line="440" w:lineRule="exact"/>
        <w:rPr>
          <w:rFonts w:eastAsia="黑体"/>
          <w:sz w:val="28"/>
        </w:rPr>
      </w:pPr>
      <w:r>
        <w:rPr>
          <w:rFonts w:hint="eastAsia" w:eastAsia="黑体"/>
          <w:sz w:val="28"/>
        </w:rPr>
        <w:t>七、考试评分标准：（另附标准答案）</w:t>
      </w:r>
    </w:p>
    <w:p>
      <w:pPr>
        <w:pStyle w:val="2"/>
        <w:spacing w:line="440" w:lineRule="exact"/>
        <w:ind w:firstLine="360"/>
        <w:rPr>
          <w:rFonts w:eastAsia="黑体"/>
          <w:sz w:val="28"/>
        </w:rPr>
      </w:pPr>
    </w:p>
    <w:p>
      <w:pPr>
        <w:pStyle w:val="2"/>
        <w:spacing w:line="440" w:lineRule="exact"/>
        <w:rPr>
          <w:rFonts w:eastAsia="黑体"/>
          <w:b w:val="0"/>
          <w:sz w:val="28"/>
        </w:rPr>
      </w:pPr>
      <w:r>
        <w:rPr>
          <w:rFonts w:hint="eastAsia" w:eastAsia="黑体"/>
          <w:sz w:val="28"/>
        </w:rPr>
        <w:t>八、考试要求：</w:t>
      </w:r>
    </w:p>
    <w:p>
      <w:pPr>
        <w:pStyle w:val="2"/>
        <w:spacing w:line="440" w:lineRule="exact"/>
        <w:ind w:firstLine="480" w:firstLineChars="200"/>
      </w:pPr>
      <w:r>
        <w:rPr>
          <w:rFonts w:hint="eastAsia" w:ascii="宋体" w:hAnsi="宋体"/>
          <w:b w:val="0"/>
        </w:rPr>
        <w:t>本课程终结考试为闭卷考试，考生不得携带任何教材、参考资料，电子读物或工具书等。</w:t>
      </w:r>
    </w:p>
    <w:p>
      <w:pPr>
        <w:pStyle w:val="2"/>
        <w:spacing w:line="440" w:lineRule="exact"/>
        <w:ind w:firstLine="360"/>
        <w:rPr>
          <w:rFonts w:ascii="黑体" w:eastAsia="黑体"/>
          <w:bCs w:val="0"/>
          <w:sz w:val="28"/>
          <w:szCs w:val="28"/>
        </w:rPr>
      </w:pPr>
    </w:p>
    <w:p>
      <w:pPr>
        <w:pStyle w:val="2"/>
        <w:spacing w:line="440" w:lineRule="exact"/>
        <w:rPr>
          <w:rFonts w:ascii="黑体" w:eastAsia="黑体"/>
          <w:bCs w:val="0"/>
          <w:sz w:val="28"/>
          <w:szCs w:val="28"/>
        </w:rPr>
      </w:pPr>
      <w:r>
        <w:rPr>
          <w:rFonts w:hint="eastAsia" w:ascii="黑体" w:eastAsia="黑体"/>
          <w:bCs w:val="0"/>
          <w:sz w:val="28"/>
          <w:szCs w:val="28"/>
        </w:rPr>
        <w:t>九、说明</w:t>
      </w:r>
    </w:p>
    <w:p>
      <w:pPr>
        <w:pStyle w:val="2"/>
        <w:spacing w:line="440" w:lineRule="exact"/>
        <w:ind w:firstLine="360" w:firstLineChars="150"/>
        <w:rPr>
          <w:rFonts w:ascii="宋体" w:hAnsi="宋体"/>
          <w:b w:val="0"/>
        </w:rPr>
      </w:pPr>
      <w:r>
        <w:rPr>
          <w:rFonts w:ascii="宋体" w:hAnsi="宋体"/>
          <w:b w:val="0"/>
        </w:rPr>
        <w:t xml:space="preserve"> </w:t>
      </w:r>
      <w:r>
        <w:rPr>
          <w:rFonts w:hint="eastAsia" w:ascii="宋体" w:hAnsi="宋体"/>
          <w:b w:val="0"/>
        </w:rPr>
        <w:t>本课程考试大纲的撰写以教育部高等学校外语专业教学指导委员会英语组编写的《高等学校英语专业英语教学大纲》为参考，并参照了《全新英语专业八级考试指南》的命题要求。</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Batang">
    <w:panose1 w:val="02030600000101010101"/>
    <w:charset w:val="81"/>
    <w:family w:val="roman"/>
    <w:pitch w:val="default"/>
    <w:sig w:usb0="B00002AF" w:usb1="69D77CFB" w:usb2="00000030" w:usb3="00000000" w:csb0="4008009F" w:csb1="DFD7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B37E5"/>
    <w:rsid w:val="39DB3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iPriority w:val="0"/>
    <w:rPr>
      <w:rFonts w:ascii="Times New Roman" w:hAnsi="Times New Roman"/>
      <w:b/>
      <w:bCs/>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2019-09-02T10:24:00Z</dcterms:created>
  <dc:creator>A</dc:creator>
  <cp:lastModifiedBy>A</cp:lastModifiedBy>
  <dcterms:modified xsi:type="dcterms:W3CDTF">2019-09-02T10:32:32Z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